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98" w:rsidRPr="004155D1" w:rsidRDefault="00102498" w:rsidP="005E4CFA">
      <w:pPr>
        <w:rPr>
          <w:rFonts w:ascii="Tahoma" w:hAnsi="Tahoma" w:cs="Tahoma"/>
          <w:sz w:val="28"/>
          <w:szCs w:val="28"/>
        </w:rPr>
      </w:pPr>
      <w:r w:rsidRPr="00FD4420">
        <w:rPr>
          <w:rFonts w:ascii="Tahoma" w:hAnsi="Tahoma" w:cs="Tahoma"/>
          <w:sz w:val="20"/>
          <w:szCs w:val="20"/>
        </w:rPr>
        <w:t xml:space="preserve"> </w:t>
      </w:r>
      <w:r w:rsidR="005E4CFA">
        <w:rPr>
          <w:rFonts w:ascii="Tahoma" w:hAnsi="Tahoma" w:cs="Tahoma"/>
          <w:sz w:val="28"/>
          <w:szCs w:val="28"/>
        </w:rPr>
        <w:t>NOTAS D</w:t>
      </w:r>
      <w:r w:rsidRPr="004155D1">
        <w:rPr>
          <w:rFonts w:ascii="Tahoma" w:hAnsi="Tahoma" w:cs="Tahoma"/>
          <w:sz w:val="28"/>
          <w:szCs w:val="28"/>
        </w:rPr>
        <w:t>E DESGLOSE</w:t>
      </w:r>
    </w:p>
    <w:p w:rsidR="00102498" w:rsidRPr="004155D1" w:rsidRDefault="00102498" w:rsidP="00102498">
      <w:pPr>
        <w:jc w:val="both"/>
        <w:rPr>
          <w:rFonts w:ascii="Tahoma" w:hAnsi="Tahoma" w:cs="Tahoma"/>
          <w:i/>
          <w:sz w:val="28"/>
          <w:szCs w:val="28"/>
        </w:rPr>
      </w:pPr>
      <w:r w:rsidRPr="004155D1">
        <w:rPr>
          <w:rFonts w:ascii="Tahoma" w:hAnsi="Tahoma" w:cs="Tahoma"/>
          <w:i/>
          <w:sz w:val="28"/>
          <w:szCs w:val="28"/>
        </w:rPr>
        <w:t>1 ACTIVO</w:t>
      </w:r>
    </w:p>
    <w:p w:rsidR="00102498" w:rsidRPr="004155D1" w:rsidRDefault="00102498" w:rsidP="00102498">
      <w:pPr>
        <w:jc w:val="both"/>
        <w:rPr>
          <w:rFonts w:ascii="Tahoma" w:hAnsi="Tahoma" w:cs="Tahoma"/>
          <w:i/>
          <w:sz w:val="28"/>
          <w:szCs w:val="28"/>
        </w:rPr>
      </w:pPr>
      <w:r w:rsidRPr="004155D1">
        <w:rPr>
          <w:rFonts w:ascii="Tahoma" w:hAnsi="Tahoma" w:cs="Tahoma"/>
          <w:i/>
          <w:sz w:val="28"/>
          <w:szCs w:val="28"/>
        </w:rPr>
        <w:t>Efectivos y Equivalentes</w:t>
      </w:r>
    </w:p>
    <w:p w:rsidR="00385695" w:rsidRDefault="00102498" w:rsidP="00102498">
      <w:pPr>
        <w:jc w:val="both"/>
        <w:rPr>
          <w:rFonts w:ascii="Tahoma" w:hAnsi="Tahoma" w:cs="Tahoma"/>
          <w:sz w:val="28"/>
          <w:szCs w:val="28"/>
        </w:rPr>
      </w:pPr>
      <w:r w:rsidRPr="004155D1">
        <w:rPr>
          <w:rFonts w:ascii="Tahoma" w:hAnsi="Tahoma" w:cs="Tahoma"/>
          <w:sz w:val="28"/>
          <w:szCs w:val="28"/>
        </w:rPr>
        <w:t xml:space="preserve">       Lo relevante de los depósitos fue Aportaciones Federales del Fondo de Fortalecimiento más  las Participaciones del mes, Ingresos por Devoluciones por concepto de Deposito para garantizar </w:t>
      </w:r>
      <w:r w:rsidR="005C16CE">
        <w:rPr>
          <w:rFonts w:ascii="Tahoma" w:hAnsi="Tahoma" w:cs="Tahoma"/>
          <w:sz w:val="28"/>
          <w:szCs w:val="28"/>
        </w:rPr>
        <w:t xml:space="preserve">los </w:t>
      </w:r>
      <w:r w:rsidR="001A1BFD">
        <w:rPr>
          <w:rFonts w:ascii="Tahoma" w:hAnsi="Tahoma" w:cs="Tahoma"/>
          <w:sz w:val="28"/>
          <w:szCs w:val="28"/>
        </w:rPr>
        <w:t>Cr</w:t>
      </w:r>
      <w:r w:rsidR="007C4B56">
        <w:rPr>
          <w:rFonts w:ascii="Tahoma" w:hAnsi="Tahoma" w:cs="Tahoma"/>
          <w:sz w:val="28"/>
          <w:szCs w:val="28"/>
        </w:rPr>
        <w:t>éditos del Municipio por $10´827,916.11</w:t>
      </w:r>
      <w:r w:rsidRPr="004155D1">
        <w:rPr>
          <w:rFonts w:ascii="Tahoma" w:hAnsi="Tahoma" w:cs="Tahoma"/>
          <w:sz w:val="28"/>
          <w:szCs w:val="28"/>
        </w:rPr>
        <w:t>; y una devolució</w:t>
      </w:r>
      <w:r w:rsidR="00166192" w:rsidRPr="004155D1">
        <w:rPr>
          <w:rFonts w:ascii="Tahoma" w:hAnsi="Tahoma" w:cs="Tahoma"/>
          <w:sz w:val="28"/>
          <w:szCs w:val="28"/>
        </w:rPr>
        <w:t>n de remane</w:t>
      </w:r>
      <w:r w:rsidRPr="004155D1">
        <w:rPr>
          <w:rFonts w:ascii="Tahoma" w:hAnsi="Tahoma" w:cs="Tahoma"/>
          <w:sz w:val="28"/>
          <w:szCs w:val="28"/>
        </w:rPr>
        <w:t>nte por $</w:t>
      </w:r>
      <w:r w:rsidR="00567389">
        <w:rPr>
          <w:rFonts w:ascii="Tahoma" w:hAnsi="Tahoma" w:cs="Tahoma"/>
          <w:sz w:val="28"/>
          <w:szCs w:val="28"/>
        </w:rPr>
        <w:t xml:space="preserve"> </w:t>
      </w:r>
      <w:r w:rsidR="007C4B56">
        <w:rPr>
          <w:rFonts w:ascii="Tahoma" w:hAnsi="Tahoma" w:cs="Tahoma"/>
          <w:sz w:val="28"/>
          <w:szCs w:val="28"/>
        </w:rPr>
        <w:t>7´292,629.72</w:t>
      </w:r>
      <w:r w:rsidR="001A1BFD">
        <w:rPr>
          <w:rFonts w:ascii="Tahoma" w:hAnsi="Tahoma" w:cs="Tahoma"/>
          <w:sz w:val="28"/>
          <w:szCs w:val="28"/>
        </w:rPr>
        <w:t>, y</w:t>
      </w:r>
      <w:r w:rsidR="008C567C" w:rsidRPr="004155D1">
        <w:rPr>
          <w:rFonts w:ascii="Tahoma" w:hAnsi="Tahoma" w:cs="Tahoma"/>
          <w:sz w:val="28"/>
          <w:szCs w:val="28"/>
        </w:rPr>
        <w:t xml:space="preserve"> </w:t>
      </w:r>
      <w:r w:rsidR="007C4B56">
        <w:rPr>
          <w:rFonts w:ascii="Tahoma" w:hAnsi="Tahoma" w:cs="Tahoma"/>
          <w:sz w:val="28"/>
          <w:szCs w:val="28"/>
        </w:rPr>
        <w:t>2´803,848.48</w:t>
      </w:r>
      <w:r w:rsidR="0091779B" w:rsidRPr="004155D1">
        <w:rPr>
          <w:rFonts w:ascii="Tahoma" w:hAnsi="Tahoma" w:cs="Tahoma"/>
          <w:sz w:val="28"/>
          <w:szCs w:val="28"/>
        </w:rPr>
        <w:t>;</w:t>
      </w:r>
      <w:r w:rsidR="001A1BFD">
        <w:rPr>
          <w:rFonts w:ascii="Tahoma" w:hAnsi="Tahoma" w:cs="Tahoma"/>
          <w:sz w:val="28"/>
          <w:szCs w:val="28"/>
        </w:rPr>
        <w:t xml:space="preserve"> devolución </w:t>
      </w:r>
      <w:r w:rsidR="007C4B56">
        <w:rPr>
          <w:rFonts w:ascii="Tahoma" w:hAnsi="Tahoma" w:cs="Tahoma"/>
          <w:sz w:val="28"/>
          <w:szCs w:val="28"/>
        </w:rPr>
        <w:t>de I.S.R por la cantidad de $165,896</w:t>
      </w:r>
      <w:r w:rsidR="001A1BFD">
        <w:rPr>
          <w:rFonts w:ascii="Tahoma" w:hAnsi="Tahoma" w:cs="Tahoma"/>
          <w:sz w:val="28"/>
          <w:szCs w:val="28"/>
        </w:rPr>
        <w:t>.</w:t>
      </w:r>
      <w:r w:rsidR="009522A1">
        <w:rPr>
          <w:rFonts w:ascii="Tahoma" w:hAnsi="Tahoma" w:cs="Tahoma"/>
          <w:sz w:val="28"/>
          <w:szCs w:val="28"/>
        </w:rPr>
        <w:t>00</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De los Derechos a recibir de Efectivos y Equivalentes y Bi</w:t>
      </w:r>
      <w:r w:rsidR="001A1BFD">
        <w:rPr>
          <w:rFonts w:ascii="Tahoma" w:hAnsi="Tahoma" w:cs="Tahoma"/>
          <w:sz w:val="28"/>
          <w:szCs w:val="28"/>
        </w:rPr>
        <w:t>enes o Servicios a recibir.</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En este rubro solo hay más movimientos de Gastos a Comprobar y se fueron recuperando según el reglamento con un término de 5 días para tramitar la comprobación y que se  recuperará hasta el siguiente mes.</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Otros Activos No Circulantes </w:t>
      </w:r>
    </w:p>
    <w:p w:rsidR="00056480" w:rsidRPr="004155D1" w:rsidRDefault="00102498" w:rsidP="00102498">
      <w:pPr>
        <w:jc w:val="both"/>
        <w:rPr>
          <w:rFonts w:ascii="Tahoma" w:hAnsi="Tahoma" w:cs="Tahoma"/>
          <w:sz w:val="28"/>
          <w:szCs w:val="28"/>
        </w:rPr>
      </w:pPr>
      <w:r w:rsidRPr="004155D1">
        <w:rPr>
          <w:rFonts w:ascii="Tahoma" w:hAnsi="Tahoma" w:cs="Tahoma"/>
          <w:sz w:val="28"/>
          <w:szCs w:val="28"/>
        </w:rPr>
        <w:t xml:space="preserve">En este rubro se registro una Garantía según convenio celebrado con la  Secretaria de Planeación y Administración y Finanzas el cual retuvo al Municipio de las Participaciones Federales según donde estipula una garantía sobre el pago de los Créditos que tiene el Municipio con la Institución bancaria </w:t>
      </w:r>
      <w:proofErr w:type="spellStart"/>
      <w:r w:rsidRPr="004155D1">
        <w:rPr>
          <w:rFonts w:ascii="Tahoma" w:hAnsi="Tahoma" w:cs="Tahoma"/>
          <w:sz w:val="28"/>
          <w:szCs w:val="28"/>
        </w:rPr>
        <w:t>Banobras</w:t>
      </w:r>
      <w:proofErr w:type="spellEnd"/>
      <w:r w:rsidRPr="004155D1">
        <w:rPr>
          <w:rFonts w:ascii="Tahoma" w:hAnsi="Tahoma" w:cs="Tahoma"/>
          <w:sz w:val="28"/>
          <w:szCs w:val="28"/>
        </w:rPr>
        <w:t>; que por este mes es por la cantidad de $</w:t>
      </w:r>
      <w:r w:rsidR="007C4B56">
        <w:rPr>
          <w:rFonts w:ascii="Tahoma" w:hAnsi="Tahoma" w:cs="Tahoma"/>
          <w:sz w:val="28"/>
          <w:szCs w:val="28"/>
        </w:rPr>
        <w:t>10´2827,916.11</w:t>
      </w:r>
      <w:r w:rsidR="00385695">
        <w:rPr>
          <w:rFonts w:ascii="Tahoma" w:hAnsi="Tahoma" w:cs="Tahoma"/>
          <w:sz w:val="28"/>
          <w:szCs w:val="28"/>
        </w:rPr>
        <w:t xml:space="preserve"> </w:t>
      </w:r>
      <w:r w:rsidRPr="004155D1">
        <w:rPr>
          <w:rFonts w:ascii="Tahoma" w:hAnsi="Tahoma" w:cs="Tahoma"/>
          <w:sz w:val="28"/>
          <w:szCs w:val="28"/>
        </w:rPr>
        <w:t xml:space="preserve">este mes hubo un remanente por parte del Banco  </w:t>
      </w:r>
      <w:proofErr w:type="spellStart"/>
      <w:r w:rsidRPr="004155D1">
        <w:rPr>
          <w:rFonts w:ascii="Tahoma" w:hAnsi="Tahoma" w:cs="Tahoma"/>
          <w:sz w:val="28"/>
          <w:szCs w:val="28"/>
        </w:rPr>
        <w:t>Monex</w:t>
      </w:r>
      <w:proofErr w:type="spellEnd"/>
      <w:r w:rsidRPr="004155D1">
        <w:rPr>
          <w:rFonts w:ascii="Tahoma" w:hAnsi="Tahoma" w:cs="Tahoma"/>
          <w:sz w:val="28"/>
          <w:szCs w:val="28"/>
        </w:rPr>
        <w:t xml:space="preserve">  de esta Garantía por la cantidad de </w:t>
      </w:r>
      <w:r w:rsidR="007C4B56">
        <w:rPr>
          <w:rFonts w:ascii="Tahoma" w:hAnsi="Tahoma" w:cs="Tahoma"/>
          <w:sz w:val="28"/>
          <w:szCs w:val="28"/>
        </w:rPr>
        <w:t>7´292,629.72, y</w:t>
      </w:r>
      <w:r w:rsidR="007C4B56" w:rsidRPr="004155D1">
        <w:rPr>
          <w:rFonts w:ascii="Tahoma" w:hAnsi="Tahoma" w:cs="Tahoma"/>
          <w:sz w:val="28"/>
          <w:szCs w:val="28"/>
        </w:rPr>
        <w:t xml:space="preserve"> </w:t>
      </w:r>
      <w:r w:rsidR="007C4B56">
        <w:rPr>
          <w:rFonts w:ascii="Tahoma" w:hAnsi="Tahoma" w:cs="Tahoma"/>
          <w:sz w:val="28"/>
          <w:szCs w:val="28"/>
        </w:rPr>
        <w:t>2´803,848.48.</w:t>
      </w:r>
    </w:p>
    <w:p w:rsidR="00056480" w:rsidRPr="004155D1" w:rsidRDefault="00056480" w:rsidP="00102498">
      <w:pPr>
        <w:jc w:val="both"/>
        <w:rPr>
          <w:rFonts w:ascii="Tahoma" w:hAnsi="Tahoma" w:cs="Tahoma"/>
          <w:sz w:val="28"/>
          <w:szCs w:val="28"/>
        </w:rPr>
      </w:pPr>
    </w:p>
    <w:p w:rsidR="00102498" w:rsidRPr="004155D1" w:rsidRDefault="00056480" w:rsidP="00102498">
      <w:pPr>
        <w:jc w:val="both"/>
        <w:rPr>
          <w:rFonts w:ascii="Tahoma" w:hAnsi="Tahoma" w:cs="Tahoma"/>
          <w:sz w:val="28"/>
          <w:szCs w:val="28"/>
        </w:rPr>
      </w:pPr>
      <w:r w:rsidRPr="004155D1">
        <w:rPr>
          <w:rFonts w:ascii="Tahoma" w:hAnsi="Tahoma" w:cs="Tahoma"/>
          <w:sz w:val="28"/>
          <w:szCs w:val="28"/>
        </w:rPr>
        <w:t xml:space="preserve"> </w:t>
      </w:r>
      <w:r w:rsidR="00102498" w:rsidRPr="004155D1">
        <w:rPr>
          <w:rFonts w:ascii="Tahoma" w:hAnsi="Tahoma" w:cs="Tahoma"/>
          <w:sz w:val="28"/>
          <w:szCs w:val="28"/>
        </w:rPr>
        <w:t>Bienes Disponibles para su Transformación o consumos (inventarios)</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 No aplica.</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lastRenderedPageBreak/>
        <w:t>Inversiones financieras</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No aplica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 Bienes Muebles, Inmuebles e Intangibles</w:t>
      </w:r>
    </w:p>
    <w:p w:rsidR="00102498" w:rsidRPr="004155D1" w:rsidRDefault="00102498" w:rsidP="00102498">
      <w:pPr>
        <w:jc w:val="both"/>
        <w:rPr>
          <w:rFonts w:ascii="Tahoma" w:hAnsi="Tahoma" w:cs="Tahoma"/>
          <w:b/>
          <w:sz w:val="28"/>
          <w:szCs w:val="28"/>
        </w:rPr>
      </w:pPr>
      <w:r w:rsidRPr="004155D1">
        <w:rPr>
          <w:rFonts w:ascii="Tahoma" w:hAnsi="Tahoma" w:cs="Tahoma"/>
          <w:sz w:val="28"/>
          <w:szCs w:val="28"/>
        </w:rPr>
        <w:t>En las notas anteriores se informa de manera agrupada y por cuenta los rubros citados y  a continuación se explicara las características significativas del estado que se encuentran los activos que actualmente ya consideramos más importantes:</w:t>
      </w:r>
    </w:p>
    <w:p w:rsidR="00102498" w:rsidRPr="004155D1" w:rsidRDefault="00102498" w:rsidP="00102498">
      <w:pPr>
        <w:rPr>
          <w:rFonts w:ascii="Tahoma" w:hAnsi="Tahoma" w:cs="Tahoma"/>
          <w:sz w:val="28"/>
          <w:szCs w:val="28"/>
        </w:rPr>
      </w:pPr>
      <w:r w:rsidRPr="004155D1">
        <w:rPr>
          <w:rFonts w:ascii="Tahoma" w:hAnsi="Tahoma" w:cs="Tahoma"/>
          <w:sz w:val="28"/>
          <w:szCs w:val="28"/>
        </w:rPr>
        <w:t>“Bienes Muebles”</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escritorios con que  contamos están al 60 %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equipos de cómputo al 59%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Las sumadoras a un  50 %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Las impresoras a un 55%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juegos de escritorios a un 65 %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archiveros a un 55 %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radios bases a un 57 % de su vida útil.</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Los radios portátil a un 57 % de su vida útil.</w:t>
      </w:r>
    </w:p>
    <w:p w:rsidR="00102498" w:rsidRPr="004155D1" w:rsidRDefault="00102498" w:rsidP="00102498">
      <w:pPr>
        <w:jc w:val="both"/>
        <w:rPr>
          <w:rFonts w:ascii="Tahoma" w:hAnsi="Tahoma" w:cs="Tahoma"/>
          <w:sz w:val="28"/>
          <w:szCs w:val="28"/>
        </w:rPr>
      </w:pPr>
    </w:p>
    <w:p w:rsidR="00102498" w:rsidRPr="004155D1" w:rsidRDefault="00102498" w:rsidP="00102498">
      <w:pPr>
        <w:rPr>
          <w:rFonts w:ascii="Tahoma" w:hAnsi="Tahoma" w:cs="Tahoma"/>
          <w:sz w:val="28"/>
          <w:szCs w:val="28"/>
        </w:rPr>
      </w:pPr>
      <w:r w:rsidRPr="004155D1">
        <w:rPr>
          <w:rFonts w:ascii="Tahoma" w:hAnsi="Tahoma" w:cs="Tahoma"/>
          <w:sz w:val="28"/>
          <w:szCs w:val="28"/>
        </w:rPr>
        <w:t>“Bienes Inmuebles”</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De los 441 bienes inmuebles, todos están en regla.</w:t>
      </w:r>
    </w:p>
    <w:p w:rsidR="00102498" w:rsidRPr="004155D1" w:rsidRDefault="00102498" w:rsidP="00102498">
      <w:pPr>
        <w:rPr>
          <w:rFonts w:ascii="Tahoma" w:hAnsi="Tahoma" w:cs="Tahoma"/>
          <w:sz w:val="28"/>
          <w:szCs w:val="28"/>
        </w:rPr>
      </w:pPr>
      <w:r w:rsidRPr="004155D1">
        <w:rPr>
          <w:rFonts w:ascii="Tahoma" w:hAnsi="Tahoma" w:cs="Tahoma"/>
          <w:sz w:val="28"/>
          <w:szCs w:val="28"/>
        </w:rPr>
        <w:t>“Parque Vehicular”</w:t>
      </w:r>
    </w:p>
    <w:p w:rsidR="00102498" w:rsidRPr="004155D1" w:rsidRDefault="00102498" w:rsidP="00102498">
      <w:pPr>
        <w:pStyle w:val="Prrafodelista"/>
        <w:numPr>
          <w:ilvl w:val="0"/>
          <w:numId w:val="1"/>
        </w:numPr>
        <w:spacing w:line="276" w:lineRule="auto"/>
        <w:jc w:val="both"/>
        <w:rPr>
          <w:rFonts w:ascii="Tahoma" w:hAnsi="Tahoma" w:cs="Tahoma"/>
          <w:sz w:val="28"/>
          <w:szCs w:val="28"/>
          <w:lang w:val="es-MX"/>
        </w:rPr>
      </w:pPr>
      <w:r w:rsidRPr="004155D1">
        <w:rPr>
          <w:rFonts w:ascii="Tahoma" w:hAnsi="Tahoma" w:cs="Tahoma"/>
          <w:sz w:val="28"/>
          <w:szCs w:val="28"/>
          <w:lang w:val="es-MX"/>
        </w:rPr>
        <w:t>De los 246 vehículos con que contamos, la mayoría está al 50 % de vida útil; se realizara una depuración de los vehículos que ya no sirven para darlos de baja con autorización del cabildo, primero aplicarles la depreciación de ley y posteriormente darles un valor comercial si es que la tienen para venderlos o darlos de baja; aun no se ha llevado a cabo la depuración y por el calendario del cabildo para hacer el estudio y autorizar la baja.</w:t>
      </w:r>
    </w:p>
    <w:p w:rsidR="00102498" w:rsidRPr="004155D1" w:rsidRDefault="00102498" w:rsidP="00102498">
      <w:pPr>
        <w:pStyle w:val="Prrafodelista"/>
        <w:spacing w:line="276" w:lineRule="auto"/>
        <w:ind w:left="0"/>
        <w:jc w:val="both"/>
        <w:rPr>
          <w:rFonts w:ascii="Tahoma" w:hAnsi="Tahoma" w:cs="Tahoma"/>
          <w:sz w:val="28"/>
          <w:szCs w:val="28"/>
          <w:lang w:val="es-MX"/>
        </w:rPr>
      </w:pPr>
      <w:r w:rsidRPr="004155D1">
        <w:rPr>
          <w:rFonts w:ascii="Tahoma" w:hAnsi="Tahoma" w:cs="Tahoma"/>
          <w:sz w:val="28"/>
          <w:szCs w:val="28"/>
          <w:lang w:val="es-MX"/>
        </w:rPr>
        <w:t xml:space="preserve">         Actualmente no se cuenta con el monto de la depreciación de los bienes; se tiene en el sistema  Integral de Contabilidad </w:t>
      </w:r>
      <w:r w:rsidRPr="004155D1">
        <w:rPr>
          <w:rFonts w:ascii="Tahoma" w:hAnsi="Tahoma" w:cs="Tahoma"/>
          <w:sz w:val="28"/>
          <w:szCs w:val="28"/>
          <w:lang w:val="es-MX"/>
        </w:rPr>
        <w:lastRenderedPageBreak/>
        <w:t xml:space="preserve">Gubernamental en el Modulo de  Patrimonio Municipal los porcentajes a aplicar para cada bien pero como son un gran número de bienes se está trabajando en ello; así como los criterios a aplicar en cada uno ya que se determinará los costos comerciales y las tasas aplicadas se darán según el avance de las depreciaciones por bien, así como las características significativas que se hayan presentado durante este proceso. </w:t>
      </w:r>
    </w:p>
    <w:p w:rsidR="00102498" w:rsidRPr="004155D1" w:rsidRDefault="00102498" w:rsidP="00102498">
      <w:pPr>
        <w:pStyle w:val="Prrafodelista"/>
        <w:spacing w:line="276" w:lineRule="auto"/>
        <w:ind w:left="0"/>
        <w:jc w:val="both"/>
        <w:rPr>
          <w:rFonts w:ascii="Tahoma" w:hAnsi="Tahoma" w:cs="Tahoma"/>
          <w:sz w:val="28"/>
          <w:szCs w:val="28"/>
          <w:lang w:val="es-MX"/>
        </w:rPr>
      </w:pPr>
    </w:p>
    <w:p w:rsidR="00102498" w:rsidRPr="004155D1" w:rsidRDefault="00102498" w:rsidP="00102498">
      <w:pPr>
        <w:pStyle w:val="Prrafodelista"/>
        <w:spacing w:line="276" w:lineRule="auto"/>
        <w:ind w:left="0"/>
        <w:jc w:val="both"/>
        <w:rPr>
          <w:rFonts w:ascii="Tahoma" w:hAnsi="Tahoma" w:cs="Tahoma"/>
          <w:sz w:val="28"/>
          <w:szCs w:val="28"/>
          <w:lang w:val="es-MX"/>
        </w:rPr>
      </w:pPr>
      <w:r w:rsidRPr="004155D1">
        <w:rPr>
          <w:rFonts w:ascii="Tahoma" w:hAnsi="Tahoma" w:cs="Tahoma"/>
          <w:sz w:val="28"/>
          <w:szCs w:val="28"/>
          <w:lang w:val="es-MX"/>
        </w:rPr>
        <w:t xml:space="preserve">             No se alcanzo a realizar la aplicación de  la Depreciación de los bienes ya que no se depuro los bienes que se consideran consumibles y de las herramientas menores  teniendo un avance del 65%  y otros que ya tienen un valor fiscal de un peso asignarles un valor comercial o del mercado considerando a criterio de Patrimonio municipal el cual se hará referencia de cuáles fueron los criterios que se tomarán en cuenta.</w:t>
      </w:r>
    </w:p>
    <w:p w:rsidR="00102498" w:rsidRPr="004155D1" w:rsidRDefault="00102498" w:rsidP="00102498">
      <w:pPr>
        <w:pStyle w:val="Prrafodelista"/>
        <w:spacing w:line="276" w:lineRule="auto"/>
        <w:ind w:left="0"/>
        <w:jc w:val="both"/>
        <w:rPr>
          <w:rFonts w:ascii="Tahoma" w:hAnsi="Tahoma" w:cs="Tahoma"/>
          <w:sz w:val="28"/>
          <w:szCs w:val="28"/>
          <w:lang w:val="es-MX"/>
        </w:rPr>
      </w:pPr>
    </w:p>
    <w:p w:rsidR="00102498" w:rsidRDefault="00102498" w:rsidP="00102498">
      <w:pPr>
        <w:pStyle w:val="Prrafodelista"/>
        <w:spacing w:line="276" w:lineRule="auto"/>
        <w:ind w:left="0"/>
        <w:jc w:val="both"/>
        <w:rPr>
          <w:rFonts w:ascii="Tahoma" w:hAnsi="Tahoma" w:cs="Tahoma"/>
          <w:sz w:val="28"/>
          <w:szCs w:val="28"/>
          <w:lang w:val="es-MX"/>
        </w:rPr>
      </w:pPr>
      <w:r w:rsidRPr="004155D1">
        <w:rPr>
          <w:rFonts w:ascii="Tahoma" w:hAnsi="Tahoma" w:cs="Tahoma"/>
          <w:sz w:val="28"/>
          <w:szCs w:val="28"/>
          <w:lang w:val="es-MX"/>
        </w:rPr>
        <w:t xml:space="preserve">             No se realizo avance alguno ya que se pretende empezar hacer la depuración del parque Vehicular no se hecho por lo que se mencionó anteriormente. </w:t>
      </w:r>
    </w:p>
    <w:p w:rsidR="00385695" w:rsidRPr="004155D1" w:rsidRDefault="00385695" w:rsidP="00102498">
      <w:pPr>
        <w:pStyle w:val="Prrafodelista"/>
        <w:spacing w:line="276" w:lineRule="auto"/>
        <w:ind w:left="0"/>
        <w:jc w:val="both"/>
        <w:rPr>
          <w:rFonts w:ascii="Tahoma" w:hAnsi="Tahoma" w:cs="Tahoma"/>
          <w:sz w:val="28"/>
          <w:szCs w:val="28"/>
          <w:lang w:val="es-MX"/>
        </w:rPr>
      </w:pPr>
    </w:p>
    <w:p w:rsidR="00102498" w:rsidRPr="004155D1" w:rsidRDefault="00102498" w:rsidP="00102498">
      <w:pPr>
        <w:pStyle w:val="Prrafodelista"/>
        <w:spacing w:line="276" w:lineRule="auto"/>
        <w:ind w:left="0"/>
        <w:jc w:val="both"/>
        <w:rPr>
          <w:rFonts w:ascii="Tahoma" w:hAnsi="Tahoma" w:cs="Tahoma"/>
          <w:sz w:val="28"/>
          <w:szCs w:val="28"/>
          <w:lang w:val="es-MX"/>
        </w:rPr>
      </w:pPr>
      <w:r w:rsidRPr="004155D1">
        <w:rPr>
          <w:rFonts w:ascii="Tahoma" w:hAnsi="Tahoma" w:cs="Tahoma"/>
          <w:sz w:val="28"/>
          <w:szCs w:val="28"/>
          <w:lang w:val="es-MX"/>
        </w:rPr>
        <w:t xml:space="preserve">             Se realizo una nueva revisión de los inventarios por Dependencia para realizar de manera puntual la entrega y recepción de esta Administración para que no haya pendientes de registrar para ningún bien en cual queda realizada en un 100% al 30 de Agosto; con la finalidad de realizar una conciliación de la información del inventario físico con la información del departamento de Patrimonio y posteriormente conciliarla de manera más puntual con la contable el cual existe un avance del 85%; posteriormente se informara los pormenores de esta revisión y de cómo se llevo a cabo.</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De Activos intangibles y diferidos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No aplica.</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Estimación y Deterioros</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lastRenderedPageBreak/>
        <w:t xml:space="preserve">No aplica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Otros Activos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No aplica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Pasivo</w:t>
      </w:r>
    </w:p>
    <w:p w:rsidR="00102498" w:rsidRPr="004155D1" w:rsidRDefault="00102498" w:rsidP="0032167A">
      <w:pPr>
        <w:jc w:val="both"/>
        <w:rPr>
          <w:rFonts w:ascii="Tahoma" w:hAnsi="Tahoma" w:cs="Tahoma"/>
          <w:sz w:val="28"/>
          <w:szCs w:val="28"/>
        </w:rPr>
      </w:pPr>
      <w:r w:rsidRPr="004155D1">
        <w:rPr>
          <w:rFonts w:ascii="Tahoma" w:hAnsi="Tahoma" w:cs="Tahoma"/>
          <w:sz w:val="28"/>
          <w:szCs w:val="28"/>
        </w:rPr>
        <w:t xml:space="preserve">                  En las notas se relaciona las cuentas por pagar estas tienen un vencimiento de  45 días realizo; la cuenta de Retenciones por pagar a corto Plazo  se encuentra reflejado lo que se  debe a terceros; de ISR </w:t>
      </w:r>
      <w:r w:rsidR="007C4B56">
        <w:rPr>
          <w:rFonts w:ascii="Tahoma" w:hAnsi="Tahoma" w:cs="Tahoma"/>
          <w:sz w:val="28"/>
          <w:szCs w:val="28"/>
        </w:rPr>
        <w:t>se pago el mes de octubre y noviembre</w:t>
      </w:r>
      <w:r w:rsidR="00D74967">
        <w:rPr>
          <w:rFonts w:ascii="Tahoma" w:hAnsi="Tahoma" w:cs="Tahoma"/>
          <w:sz w:val="28"/>
          <w:szCs w:val="28"/>
        </w:rPr>
        <w:t xml:space="preserve"> </w:t>
      </w:r>
      <w:r w:rsidR="00A735F8" w:rsidRPr="004155D1">
        <w:rPr>
          <w:rFonts w:ascii="Tahoma" w:hAnsi="Tahoma" w:cs="Tahoma"/>
          <w:sz w:val="28"/>
          <w:szCs w:val="28"/>
        </w:rPr>
        <w:t xml:space="preserve">queda pendiente el pago de </w:t>
      </w:r>
      <w:r w:rsidR="005055E1">
        <w:rPr>
          <w:rFonts w:ascii="Tahoma" w:hAnsi="Tahoma" w:cs="Tahoma"/>
          <w:sz w:val="28"/>
          <w:szCs w:val="28"/>
        </w:rPr>
        <w:t>que correspond</w:t>
      </w:r>
      <w:r w:rsidR="007C4B56">
        <w:rPr>
          <w:rFonts w:ascii="Tahoma" w:hAnsi="Tahoma" w:cs="Tahoma"/>
          <w:sz w:val="28"/>
          <w:szCs w:val="28"/>
        </w:rPr>
        <w:t>e al mes, diciembre</w:t>
      </w:r>
      <w:r w:rsidR="00D74967">
        <w:rPr>
          <w:rFonts w:ascii="Tahoma" w:hAnsi="Tahoma" w:cs="Tahoma"/>
          <w:sz w:val="28"/>
          <w:szCs w:val="28"/>
        </w:rPr>
        <w:t xml:space="preserve"> </w:t>
      </w:r>
      <w:r w:rsidRPr="004155D1">
        <w:rPr>
          <w:rFonts w:ascii="Tahoma" w:hAnsi="Tahoma" w:cs="Tahoma"/>
          <w:sz w:val="28"/>
          <w:szCs w:val="28"/>
        </w:rPr>
        <w:t xml:space="preserve">; </w:t>
      </w:r>
      <w:r w:rsidR="00D92235">
        <w:rPr>
          <w:rFonts w:ascii="Tahoma" w:hAnsi="Tahoma" w:cs="Tahoma"/>
          <w:sz w:val="28"/>
          <w:szCs w:val="28"/>
        </w:rPr>
        <w:t xml:space="preserve">está pendiente el pago de la cuenta  de </w:t>
      </w:r>
      <w:r w:rsidRPr="004155D1">
        <w:rPr>
          <w:rFonts w:ascii="Tahoma" w:hAnsi="Tahoma" w:cs="Tahoma"/>
          <w:sz w:val="28"/>
          <w:szCs w:val="28"/>
        </w:rPr>
        <w:t xml:space="preserve">retenciones por concepto de Aportaciones a Pensiones del Estado la parte </w:t>
      </w:r>
      <w:r w:rsidR="005B7380">
        <w:rPr>
          <w:rFonts w:ascii="Tahoma" w:hAnsi="Tahoma" w:cs="Tahoma"/>
          <w:sz w:val="28"/>
          <w:szCs w:val="28"/>
        </w:rPr>
        <w:t xml:space="preserve">patronal y </w:t>
      </w:r>
      <w:r w:rsidR="0032167A">
        <w:rPr>
          <w:rFonts w:ascii="Tahoma" w:hAnsi="Tahoma" w:cs="Tahoma"/>
          <w:sz w:val="28"/>
          <w:szCs w:val="28"/>
        </w:rPr>
        <w:t xml:space="preserve"> la parte </w:t>
      </w:r>
      <w:r w:rsidR="007D439B">
        <w:rPr>
          <w:rFonts w:ascii="Arial" w:eastAsia="Times New Roman" w:hAnsi="Arial" w:cs="Arial"/>
          <w:color w:val="000000"/>
          <w:sz w:val="20"/>
          <w:szCs w:val="20"/>
          <w:lang w:eastAsia="es-MX"/>
        </w:rPr>
        <w:t xml:space="preserve"> </w:t>
      </w:r>
      <w:r w:rsidRPr="004155D1">
        <w:rPr>
          <w:rFonts w:ascii="Tahoma" w:hAnsi="Tahoma" w:cs="Tahoma"/>
          <w:sz w:val="28"/>
          <w:szCs w:val="28"/>
        </w:rPr>
        <w:t>proporcion</w:t>
      </w:r>
      <w:r w:rsidR="0032167A">
        <w:rPr>
          <w:rFonts w:ascii="Tahoma" w:hAnsi="Tahoma" w:cs="Tahoma"/>
          <w:sz w:val="28"/>
          <w:szCs w:val="28"/>
        </w:rPr>
        <w:t xml:space="preserve">al de los empleados  por una cantidad </w:t>
      </w:r>
      <w:r w:rsidRPr="004155D1">
        <w:rPr>
          <w:rFonts w:ascii="Tahoma" w:hAnsi="Tahoma" w:cs="Tahoma"/>
          <w:sz w:val="28"/>
          <w:szCs w:val="28"/>
        </w:rPr>
        <w:t xml:space="preserve"> de </w:t>
      </w:r>
      <w:r w:rsidR="00123DA1">
        <w:rPr>
          <w:rFonts w:ascii="Tahoma" w:hAnsi="Tahoma" w:cs="Tahoma"/>
          <w:sz w:val="28"/>
          <w:szCs w:val="28"/>
        </w:rPr>
        <w:t>8</w:t>
      </w:r>
      <w:r w:rsidR="00B97F89" w:rsidRPr="004155D1">
        <w:rPr>
          <w:rFonts w:ascii="Tahoma" w:hAnsi="Tahoma" w:cs="Tahoma"/>
          <w:sz w:val="28"/>
          <w:szCs w:val="28"/>
        </w:rPr>
        <w:t>´</w:t>
      </w:r>
      <w:r w:rsidR="00123DA1">
        <w:rPr>
          <w:rFonts w:ascii="Tahoma" w:hAnsi="Tahoma" w:cs="Tahoma"/>
          <w:sz w:val="28"/>
          <w:szCs w:val="28"/>
        </w:rPr>
        <w:t>260,019.54</w:t>
      </w:r>
      <w:r w:rsidRPr="004155D1">
        <w:rPr>
          <w:rFonts w:ascii="Tahoma" w:hAnsi="Tahoma" w:cs="Tahoma"/>
          <w:sz w:val="28"/>
          <w:szCs w:val="28"/>
        </w:rPr>
        <w:t>,</w:t>
      </w:r>
      <w:r w:rsidR="005B7380">
        <w:rPr>
          <w:rFonts w:ascii="Tahoma" w:hAnsi="Tahoma" w:cs="Tahoma"/>
          <w:sz w:val="28"/>
          <w:szCs w:val="28"/>
        </w:rPr>
        <w:t xml:space="preserve"> este </w:t>
      </w:r>
      <w:r w:rsidRPr="004155D1">
        <w:rPr>
          <w:rFonts w:ascii="Tahoma" w:hAnsi="Tahoma" w:cs="Tahoma"/>
          <w:sz w:val="28"/>
          <w:szCs w:val="28"/>
        </w:rPr>
        <w:t xml:space="preserve">  pasivo se irá  realizado según la situación económica del Municipio.</w:t>
      </w:r>
    </w:p>
    <w:p w:rsidR="00102498" w:rsidRPr="004155D1" w:rsidRDefault="00102498" w:rsidP="00102498">
      <w:pPr>
        <w:jc w:val="both"/>
        <w:rPr>
          <w:rFonts w:ascii="Tahoma" w:hAnsi="Tahoma" w:cs="Tahoma"/>
          <w:sz w:val="28"/>
          <w:szCs w:val="28"/>
        </w:rPr>
      </w:pP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                En lo que respecta a los Pasivos a Largo Plazo se informó que se  solicito un préstamo a </w:t>
      </w:r>
      <w:proofErr w:type="spellStart"/>
      <w:r w:rsidRPr="004155D1">
        <w:rPr>
          <w:rFonts w:ascii="Tahoma" w:hAnsi="Tahoma" w:cs="Tahoma"/>
          <w:sz w:val="28"/>
          <w:szCs w:val="28"/>
        </w:rPr>
        <w:t>Banobras</w:t>
      </w:r>
      <w:proofErr w:type="spellEnd"/>
      <w:r w:rsidRPr="004155D1">
        <w:rPr>
          <w:rFonts w:ascii="Tahoma" w:hAnsi="Tahoma" w:cs="Tahoma"/>
          <w:sz w:val="28"/>
          <w:szCs w:val="28"/>
        </w:rPr>
        <w:t xml:space="preserve"> con fecha del enero del 2017,  el cual fue para reestructurar la Deuda Pública de los créditos No. 11520 y 12244; y quedara vigente el crédito No. 12934; por la cantidad de  $107´299,999.50 con una tasa TIIE mas  2.55 puntos y el resto del crédito fue destinado para Inversiones Públicas Productivas, obras terminadas. Se realizaron abonos a cuenta de créditos por la cantidad de </w:t>
      </w:r>
      <w:r w:rsidR="00A735F8" w:rsidRPr="004155D1">
        <w:rPr>
          <w:rFonts w:ascii="Tahoma" w:hAnsi="Tahoma" w:cs="Tahoma"/>
          <w:sz w:val="28"/>
          <w:szCs w:val="28"/>
        </w:rPr>
        <w:t>$</w:t>
      </w:r>
      <w:r w:rsidR="00123DA1">
        <w:rPr>
          <w:rFonts w:ascii="Tahoma" w:hAnsi="Tahoma" w:cs="Tahoma"/>
          <w:sz w:val="28"/>
          <w:szCs w:val="28"/>
        </w:rPr>
        <w:t xml:space="preserve"> 1</w:t>
      </w:r>
      <w:r w:rsidR="0032167A" w:rsidRPr="004155D1">
        <w:rPr>
          <w:rFonts w:ascii="Tahoma" w:hAnsi="Tahoma" w:cs="Tahoma"/>
          <w:sz w:val="28"/>
          <w:szCs w:val="28"/>
        </w:rPr>
        <w:t>´</w:t>
      </w:r>
      <w:r w:rsidR="00123DA1">
        <w:rPr>
          <w:rFonts w:ascii="Tahoma" w:hAnsi="Tahoma" w:cs="Tahoma"/>
          <w:sz w:val="28"/>
          <w:szCs w:val="28"/>
        </w:rPr>
        <w:t>898,532.09</w:t>
      </w:r>
      <w:r w:rsidR="005B7380">
        <w:rPr>
          <w:rFonts w:ascii="Tahoma" w:hAnsi="Tahoma" w:cs="Tahoma"/>
          <w:sz w:val="28"/>
          <w:szCs w:val="28"/>
        </w:rPr>
        <w:t>,</w:t>
      </w:r>
      <w:r w:rsidR="004F3FFE">
        <w:rPr>
          <w:rFonts w:ascii="Tahoma" w:hAnsi="Tahoma" w:cs="Tahoma"/>
          <w:sz w:val="28"/>
          <w:szCs w:val="28"/>
        </w:rPr>
        <w:t xml:space="preserve"> </w:t>
      </w:r>
      <w:r w:rsidRPr="004155D1">
        <w:rPr>
          <w:rFonts w:ascii="Tahoma" w:hAnsi="Tahoma" w:cs="Tahoma"/>
          <w:sz w:val="28"/>
          <w:szCs w:val="28"/>
        </w:rPr>
        <w:t>de Amortizaciones e intereses.</w:t>
      </w:r>
    </w:p>
    <w:p w:rsidR="007064E3" w:rsidRDefault="007064E3" w:rsidP="00102498">
      <w:pPr>
        <w:jc w:val="both"/>
        <w:rPr>
          <w:rFonts w:ascii="Tahoma" w:hAnsi="Tahoma" w:cs="Tahoma"/>
          <w:sz w:val="28"/>
          <w:szCs w:val="28"/>
        </w:rPr>
      </w:pP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De los Fondos de Bienes de terceros en Administración y/o Garantía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No aplica.</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Ingresos de Gestión </w:t>
      </w:r>
    </w:p>
    <w:p w:rsidR="00123DA1" w:rsidRDefault="00102498" w:rsidP="00123DA1">
      <w:pPr>
        <w:jc w:val="both"/>
        <w:rPr>
          <w:rFonts w:ascii="Tahoma" w:hAnsi="Tahoma" w:cs="Tahoma"/>
          <w:sz w:val="28"/>
          <w:szCs w:val="28"/>
        </w:rPr>
      </w:pPr>
      <w:r w:rsidRPr="004155D1">
        <w:rPr>
          <w:rFonts w:ascii="Tahoma" w:hAnsi="Tahoma" w:cs="Tahoma"/>
          <w:sz w:val="28"/>
          <w:szCs w:val="28"/>
        </w:rPr>
        <w:lastRenderedPageBreak/>
        <w:t xml:space="preserve">                 Se informa  todos los rubros que integran los ingresos hasta tercer nivel del CRI  en este mes hubo un ingreso por de Aportaciones Federales de Infraestructura Social Municipal de Fortalecimiento Social Municipal, además de las Participaciones Federales y Estatales del mes; Ingresos por Devoluciones por concepto de Depósito en Garantía del crédito no. 12934  </w:t>
      </w:r>
      <w:r w:rsidR="00123DA1">
        <w:rPr>
          <w:rFonts w:ascii="Tahoma" w:hAnsi="Tahoma" w:cs="Tahoma"/>
          <w:sz w:val="28"/>
          <w:szCs w:val="28"/>
        </w:rPr>
        <w:t>$10´827,916.11</w:t>
      </w:r>
      <w:r w:rsidR="00123DA1" w:rsidRPr="004155D1">
        <w:rPr>
          <w:rFonts w:ascii="Tahoma" w:hAnsi="Tahoma" w:cs="Tahoma"/>
          <w:sz w:val="28"/>
          <w:szCs w:val="28"/>
        </w:rPr>
        <w:t>; y una devolución de remanente por $</w:t>
      </w:r>
      <w:r w:rsidR="00123DA1">
        <w:rPr>
          <w:rFonts w:ascii="Tahoma" w:hAnsi="Tahoma" w:cs="Tahoma"/>
          <w:sz w:val="28"/>
          <w:szCs w:val="28"/>
        </w:rPr>
        <w:t xml:space="preserve"> 7´292,629.72, y</w:t>
      </w:r>
      <w:r w:rsidR="00123DA1" w:rsidRPr="004155D1">
        <w:rPr>
          <w:rFonts w:ascii="Tahoma" w:hAnsi="Tahoma" w:cs="Tahoma"/>
          <w:sz w:val="28"/>
          <w:szCs w:val="28"/>
        </w:rPr>
        <w:t xml:space="preserve"> </w:t>
      </w:r>
      <w:r w:rsidR="00123DA1">
        <w:rPr>
          <w:rFonts w:ascii="Tahoma" w:hAnsi="Tahoma" w:cs="Tahoma"/>
          <w:sz w:val="28"/>
          <w:szCs w:val="28"/>
        </w:rPr>
        <w:t>2´803,848.48</w:t>
      </w:r>
      <w:r w:rsidR="00123DA1" w:rsidRPr="004155D1">
        <w:rPr>
          <w:rFonts w:ascii="Tahoma" w:hAnsi="Tahoma" w:cs="Tahoma"/>
          <w:sz w:val="28"/>
          <w:szCs w:val="28"/>
        </w:rPr>
        <w:t>;</w:t>
      </w:r>
      <w:r w:rsidR="00123DA1">
        <w:rPr>
          <w:rFonts w:ascii="Tahoma" w:hAnsi="Tahoma" w:cs="Tahoma"/>
          <w:sz w:val="28"/>
          <w:szCs w:val="28"/>
        </w:rPr>
        <w:t xml:space="preserve"> devolución de I.S.R por la cantidad de $165,896.00</w:t>
      </w:r>
    </w:p>
    <w:p w:rsidR="00CA32FC" w:rsidRPr="004155D1" w:rsidRDefault="00CA32FC" w:rsidP="00CA32FC">
      <w:pPr>
        <w:jc w:val="both"/>
        <w:rPr>
          <w:rFonts w:ascii="Tahoma" w:hAnsi="Tahoma" w:cs="Tahoma"/>
          <w:sz w:val="28"/>
          <w:szCs w:val="28"/>
        </w:rPr>
      </w:pP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  Otros Ingresos.</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 xml:space="preserve"> No aplica </w:t>
      </w:r>
    </w:p>
    <w:p w:rsidR="00102498" w:rsidRPr="004155D1" w:rsidRDefault="00102498" w:rsidP="00102498">
      <w:pPr>
        <w:jc w:val="both"/>
        <w:rPr>
          <w:rFonts w:ascii="Tahoma" w:hAnsi="Tahoma" w:cs="Tahoma"/>
          <w:sz w:val="28"/>
          <w:szCs w:val="28"/>
        </w:rPr>
      </w:pPr>
      <w:r w:rsidRPr="004155D1">
        <w:rPr>
          <w:rFonts w:ascii="Tahoma" w:hAnsi="Tahoma" w:cs="Tahoma"/>
          <w:sz w:val="28"/>
          <w:szCs w:val="28"/>
        </w:rPr>
        <w:t>Gastos y Otras Pérdidas.</w:t>
      </w:r>
    </w:p>
    <w:p w:rsidR="00102498" w:rsidRPr="007064E3" w:rsidRDefault="00102498" w:rsidP="00102498">
      <w:pPr>
        <w:jc w:val="both"/>
        <w:rPr>
          <w:rFonts w:ascii="Tahoma" w:hAnsi="Tahoma" w:cs="Tahoma"/>
          <w:color w:val="FF0000"/>
          <w:sz w:val="28"/>
          <w:szCs w:val="28"/>
        </w:rPr>
      </w:pPr>
      <w:r w:rsidRPr="004155D1">
        <w:rPr>
          <w:rFonts w:ascii="Tahoma" w:hAnsi="Tahoma" w:cs="Tahoma"/>
          <w:sz w:val="28"/>
          <w:szCs w:val="28"/>
        </w:rPr>
        <w:t>En  las cuentas de gasto de Funcionamiento,  se  realizaron los gastos fijos como Nómina, C.F.E.,IMSS, Pensiones del Estado, Teléfono, Subsidio al DIF Municipal y gastos que cubren las necesidades de los Departamentos para su buen funcionamiento; se realizo un Deposito en Garantía de las Participaciones del Municipio para garantizar el Crédito nuevo No. 12934 por la cantidad de $</w:t>
      </w:r>
      <w:r w:rsidR="00123DA1">
        <w:rPr>
          <w:rFonts w:ascii="Tahoma" w:hAnsi="Tahoma" w:cs="Tahoma"/>
          <w:sz w:val="28"/>
          <w:szCs w:val="28"/>
        </w:rPr>
        <w:t>10´827,916.11</w:t>
      </w:r>
      <w:r w:rsidR="00607137">
        <w:rPr>
          <w:rFonts w:ascii="Tahoma" w:hAnsi="Tahoma" w:cs="Tahoma"/>
          <w:sz w:val="28"/>
          <w:szCs w:val="28"/>
        </w:rPr>
        <w:t xml:space="preserve">; </w:t>
      </w:r>
      <w:r w:rsidRPr="004155D1">
        <w:rPr>
          <w:rFonts w:ascii="Tahoma" w:hAnsi="Tahoma" w:cs="Tahoma"/>
          <w:sz w:val="28"/>
          <w:szCs w:val="28"/>
        </w:rPr>
        <w:t>pagos a la deuda Pública por la cantidad de</w:t>
      </w:r>
      <w:r w:rsidR="00123DA1">
        <w:rPr>
          <w:rFonts w:ascii="Tahoma" w:hAnsi="Tahoma" w:cs="Tahoma"/>
          <w:sz w:val="28"/>
          <w:szCs w:val="28"/>
        </w:rPr>
        <w:t xml:space="preserve"> $1</w:t>
      </w:r>
      <w:r w:rsidR="00D63027" w:rsidRPr="004155D1">
        <w:rPr>
          <w:rFonts w:ascii="Tahoma" w:hAnsi="Tahoma" w:cs="Tahoma"/>
          <w:sz w:val="28"/>
          <w:szCs w:val="28"/>
        </w:rPr>
        <w:t>´</w:t>
      </w:r>
      <w:r w:rsidR="00123DA1">
        <w:rPr>
          <w:rFonts w:ascii="Tahoma" w:hAnsi="Tahoma" w:cs="Tahoma"/>
          <w:sz w:val="28"/>
          <w:szCs w:val="28"/>
        </w:rPr>
        <w:t>898,532.09</w:t>
      </w:r>
      <w:r w:rsidRPr="004155D1">
        <w:rPr>
          <w:rFonts w:ascii="Tahoma" w:hAnsi="Tahoma" w:cs="Tahoma"/>
          <w:sz w:val="28"/>
          <w:szCs w:val="28"/>
        </w:rPr>
        <w:t>; anticipos, estimaciones y finiquitos por Obras en Proceso realizados por la cantidad de  $</w:t>
      </w:r>
      <w:r w:rsidR="004324D6">
        <w:rPr>
          <w:rFonts w:ascii="Tahoma" w:hAnsi="Tahoma" w:cs="Tahoma"/>
          <w:color w:val="FF0000"/>
          <w:sz w:val="28"/>
          <w:szCs w:val="28"/>
        </w:rPr>
        <w:t xml:space="preserve"> </w:t>
      </w:r>
      <w:r w:rsidR="005B6B36">
        <w:rPr>
          <w:rFonts w:ascii="Tahoma" w:hAnsi="Tahoma" w:cs="Tahoma"/>
          <w:sz w:val="28"/>
          <w:szCs w:val="28"/>
        </w:rPr>
        <w:t>7´005,749</w:t>
      </w:r>
      <w:r w:rsidR="004324D6" w:rsidRPr="00BD7D5D">
        <w:rPr>
          <w:rFonts w:ascii="Tahoma" w:hAnsi="Tahoma" w:cs="Tahoma"/>
          <w:sz w:val="28"/>
          <w:szCs w:val="28"/>
        </w:rPr>
        <w:t>.</w:t>
      </w:r>
      <w:r w:rsidR="005B6B36">
        <w:rPr>
          <w:rFonts w:ascii="Tahoma" w:hAnsi="Tahoma" w:cs="Tahoma"/>
          <w:sz w:val="28"/>
          <w:szCs w:val="28"/>
        </w:rPr>
        <w:t>93</w:t>
      </w:r>
      <w:r w:rsidR="00BD7D5D">
        <w:rPr>
          <w:rFonts w:ascii="Tahoma" w:hAnsi="Tahoma" w:cs="Tahoma"/>
          <w:sz w:val="28"/>
          <w:szCs w:val="28"/>
        </w:rPr>
        <w:t>.</w:t>
      </w:r>
    </w:p>
    <w:p w:rsidR="00102498" w:rsidRPr="004155D1" w:rsidRDefault="00102498" w:rsidP="00102498">
      <w:pPr>
        <w:rPr>
          <w:rFonts w:ascii="Tahoma" w:hAnsi="Tahoma" w:cs="Tahoma"/>
          <w:sz w:val="28"/>
          <w:szCs w:val="28"/>
        </w:rPr>
      </w:pPr>
    </w:p>
    <w:p w:rsidR="00102498" w:rsidRPr="004155D1" w:rsidRDefault="00102498" w:rsidP="00102498">
      <w:pPr>
        <w:rPr>
          <w:rFonts w:ascii="Tahoma" w:hAnsi="Tahoma" w:cs="Tahoma"/>
          <w:sz w:val="28"/>
          <w:szCs w:val="28"/>
        </w:rPr>
      </w:pPr>
    </w:p>
    <w:sectPr w:rsidR="00102498" w:rsidRPr="004155D1" w:rsidSect="0021666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52E79"/>
    <w:multiLevelType w:val="hybridMultilevel"/>
    <w:tmpl w:val="2FCE672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498"/>
    <w:rsid w:val="00017BD9"/>
    <w:rsid w:val="00056480"/>
    <w:rsid w:val="000808C2"/>
    <w:rsid w:val="000B4A83"/>
    <w:rsid w:val="000B71D4"/>
    <w:rsid w:val="000D3079"/>
    <w:rsid w:val="00102498"/>
    <w:rsid w:val="00123DA1"/>
    <w:rsid w:val="00135859"/>
    <w:rsid w:val="00166192"/>
    <w:rsid w:val="00170371"/>
    <w:rsid w:val="00186707"/>
    <w:rsid w:val="001A1BFD"/>
    <w:rsid w:val="002340FF"/>
    <w:rsid w:val="002B7A6A"/>
    <w:rsid w:val="002E2910"/>
    <w:rsid w:val="003157ED"/>
    <w:rsid w:val="0032167A"/>
    <w:rsid w:val="00360867"/>
    <w:rsid w:val="00385695"/>
    <w:rsid w:val="00393BC9"/>
    <w:rsid w:val="003C3265"/>
    <w:rsid w:val="004155D1"/>
    <w:rsid w:val="004324D6"/>
    <w:rsid w:val="00474144"/>
    <w:rsid w:val="00495427"/>
    <w:rsid w:val="004E714F"/>
    <w:rsid w:val="004F3FFE"/>
    <w:rsid w:val="004F7B7E"/>
    <w:rsid w:val="005055E1"/>
    <w:rsid w:val="00547E5F"/>
    <w:rsid w:val="00567389"/>
    <w:rsid w:val="005B6B36"/>
    <w:rsid w:val="005B7380"/>
    <w:rsid w:val="005C16CE"/>
    <w:rsid w:val="005D2768"/>
    <w:rsid w:val="005E4CFA"/>
    <w:rsid w:val="00607137"/>
    <w:rsid w:val="00615CAC"/>
    <w:rsid w:val="0067665B"/>
    <w:rsid w:val="006B5A87"/>
    <w:rsid w:val="007045AF"/>
    <w:rsid w:val="007064E3"/>
    <w:rsid w:val="0072239A"/>
    <w:rsid w:val="00773E44"/>
    <w:rsid w:val="007A6D74"/>
    <w:rsid w:val="007C454D"/>
    <w:rsid w:val="007C4B56"/>
    <w:rsid w:val="007D439B"/>
    <w:rsid w:val="00810138"/>
    <w:rsid w:val="008C567C"/>
    <w:rsid w:val="0091779B"/>
    <w:rsid w:val="009522A1"/>
    <w:rsid w:val="009962B3"/>
    <w:rsid w:val="00A05D9B"/>
    <w:rsid w:val="00A735F8"/>
    <w:rsid w:val="00B72F36"/>
    <w:rsid w:val="00B96B06"/>
    <w:rsid w:val="00B97F89"/>
    <w:rsid w:val="00BD7D5D"/>
    <w:rsid w:val="00C47537"/>
    <w:rsid w:val="00C510CC"/>
    <w:rsid w:val="00CA32FC"/>
    <w:rsid w:val="00D63027"/>
    <w:rsid w:val="00D73BF9"/>
    <w:rsid w:val="00D74967"/>
    <w:rsid w:val="00D92235"/>
    <w:rsid w:val="00DA711B"/>
    <w:rsid w:val="00EC1B3B"/>
    <w:rsid w:val="00EC6F04"/>
    <w:rsid w:val="00EE041B"/>
    <w:rsid w:val="00EE1E16"/>
    <w:rsid w:val="00F13D1C"/>
    <w:rsid w:val="00FB7DA7"/>
    <w:rsid w:val="00FD4420"/>
    <w:rsid w:val="00FF60A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498"/>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5829248">
      <w:bodyDiv w:val="1"/>
      <w:marLeft w:val="0"/>
      <w:marRight w:val="0"/>
      <w:marTop w:val="0"/>
      <w:marBottom w:val="0"/>
      <w:divBdr>
        <w:top w:val="none" w:sz="0" w:space="0" w:color="auto"/>
        <w:left w:val="none" w:sz="0" w:space="0" w:color="auto"/>
        <w:bottom w:val="none" w:sz="0" w:space="0" w:color="auto"/>
        <w:right w:val="none" w:sz="0" w:space="0" w:color="auto"/>
      </w:divBdr>
    </w:div>
    <w:div w:id="634874708">
      <w:bodyDiv w:val="1"/>
      <w:marLeft w:val="0"/>
      <w:marRight w:val="0"/>
      <w:marTop w:val="0"/>
      <w:marBottom w:val="0"/>
      <w:divBdr>
        <w:top w:val="none" w:sz="0" w:space="0" w:color="auto"/>
        <w:left w:val="none" w:sz="0" w:space="0" w:color="auto"/>
        <w:bottom w:val="none" w:sz="0" w:space="0" w:color="auto"/>
        <w:right w:val="none" w:sz="0" w:space="0" w:color="auto"/>
      </w:divBdr>
    </w:div>
    <w:div w:id="1102186133">
      <w:bodyDiv w:val="1"/>
      <w:marLeft w:val="0"/>
      <w:marRight w:val="0"/>
      <w:marTop w:val="0"/>
      <w:marBottom w:val="0"/>
      <w:divBdr>
        <w:top w:val="none" w:sz="0" w:space="0" w:color="auto"/>
        <w:left w:val="none" w:sz="0" w:space="0" w:color="auto"/>
        <w:bottom w:val="none" w:sz="0" w:space="0" w:color="auto"/>
        <w:right w:val="none" w:sz="0" w:space="0" w:color="auto"/>
      </w:divBdr>
    </w:div>
    <w:div w:id="1282885802">
      <w:bodyDiv w:val="1"/>
      <w:marLeft w:val="0"/>
      <w:marRight w:val="0"/>
      <w:marTop w:val="0"/>
      <w:marBottom w:val="0"/>
      <w:divBdr>
        <w:top w:val="none" w:sz="0" w:space="0" w:color="auto"/>
        <w:left w:val="none" w:sz="0" w:space="0" w:color="auto"/>
        <w:bottom w:val="none" w:sz="0" w:space="0" w:color="auto"/>
        <w:right w:val="none" w:sz="0" w:space="0" w:color="auto"/>
      </w:divBdr>
    </w:div>
    <w:div w:id="1410423963">
      <w:bodyDiv w:val="1"/>
      <w:marLeft w:val="0"/>
      <w:marRight w:val="0"/>
      <w:marTop w:val="0"/>
      <w:marBottom w:val="0"/>
      <w:divBdr>
        <w:top w:val="none" w:sz="0" w:space="0" w:color="auto"/>
        <w:left w:val="none" w:sz="0" w:space="0" w:color="auto"/>
        <w:bottom w:val="none" w:sz="0" w:space="0" w:color="auto"/>
        <w:right w:val="none" w:sz="0" w:space="0" w:color="auto"/>
      </w:divBdr>
    </w:div>
    <w:div w:id="1439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Baltazar Rodriguez</dc:creator>
  <cp:lastModifiedBy>esther.lopez</cp:lastModifiedBy>
  <cp:revision>4</cp:revision>
  <dcterms:created xsi:type="dcterms:W3CDTF">2019-05-14T13:44:00Z</dcterms:created>
  <dcterms:modified xsi:type="dcterms:W3CDTF">2019-05-14T14:21:00Z</dcterms:modified>
</cp:coreProperties>
</file>